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C6" w:rsidRDefault="00416AC6" w:rsidP="00416AC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Magyar Ügyvédi Kamara – Ügyvédakadémia</w:t>
      </w:r>
    </w:p>
    <w:p w:rsidR="00416AC6" w:rsidRPr="00480948" w:rsidRDefault="00416AC6" w:rsidP="00416AC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2018. szeptember 20.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</w:p>
    <w:p w:rsidR="00416AC6" w:rsidRP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Birtokvédelmi Szövetség (továbbiakban: MABIV) egy hat éve létrehozott közhasznú egyesület, alapszabályi célja a jogi ismeretterjesztés és tanácsadás mind a szakma mind pedig az állampolgárok részére, küldetése pedig egyfajta szakmai közösségformálás a birtokvédelem és a közigazgatás jogterületén. Tagjai döntő részben jegyzők, birtokvédelmi ügyintézők, más közigazgatási szakemberek, ügyvédek, felszámolók, magánbiztonsági szakemberek.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2017. év elején szakmai büszkeség és kihívás érte a </w:t>
      </w:r>
      <w:proofErr w:type="spellStart"/>
      <w:r>
        <w:rPr>
          <w:rFonts w:ascii="Times New Roman" w:hAnsi="Times New Roman" w:cs="Times New Roman"/>
        </w:rPr>
        <w:t>MABIV-ot</w:t>
      </w:r>
      <w:proofErr w:type="spellEnd"/>
      <w:r>
        <w:rPr>
          <w:rFonts w:ascii="Times New Roman" w:hAnsi="Times New Roman" w:cs="Times New Roman"/>
        </w:rPr>
        <w:t>: a Kúria Birtokvédelmi Joggyakorlat-elemző Munkacsoportjának tagja lett és feladatul kapta a bíróság előtt megtámadott jegyzői birtokvédelmi döntések előzményét képező jegyzői eljárás bemutatását.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MABIV a munkacsoport részére elkészítendő dolgozaton túl nagyot álmodott: a tisztelt jegyzői kar országos megszólításával adatok, információk, tapasztalatok és </w:t>
      </w:r>
      <w:proofErr w:type="spellStart"/>
      <w:r>
        <w:rPr>
          <w:rFonts w:ascii="Times New Roman" w:hAnsi="Times New Roman" w:cs="Times New Roman"/>
        </w:rPr>
        <w:t>anonimizált</w:t>
      </w:r>
      <w:proofErr w:type="spellEnd"/>
      <w:r>
        <w:rPr>
          <w:rFonts w:ascii="Times New Roman" w:hAnsi="Times New Roman" w:cs="Times New Roman"/>
        </w:rPr>
        <w:t xml:space="preserve"> határozatok begyűjtésével egy Birtokvédelmi Kézikönyvet kíván letenni a jogalkalmazók asztalára. Ezen kézikönyvhöz az elmúlt egy évben rengeteg anyag gyűlt össze, melynek feldolgozása jelenleg is tart (a cikk megírása időpontjában – 2018. január 4. – még a munkacsoport munkája sem fejeződött be).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Főbb megállapítások a munka során: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munka kezdetén a Miniszterelnökségtől (továbbiakban: ME) valamint a Belügyminisztériumtól (továbbiakban: BM) igényelt (és a kormany.hu oldal </w:t>
      </w:r>
      <w:proofErr w:type="spellStart"/>
      <w:r>
        <w:rPr>
          <w:rFonts w:ascii="Times New Roman" w:hAnsi="Times New Roman" w:cs="Times New Roman"/>
        </w:rPr>
        <w:t>almenüjében</w:t>
      </w:r>
      <w:proofErr w:type="spellEnd"/>
      <w:r>
        <w:rPr>
          <w:rFonts w:ascii="Times New Roman" w:hAnsi="Times New Roman" w:cs="Times New Roman"/>
        </w:rPr>
        <w:t xml:space="preserve"> is megtalálható) „naprakész” jegyzői e-mailcím-lista 2%-a hibás, a levelek visszaérkeztek a címzettektől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BM első válaszában rögtön leszögezte, hogy a birtokvédelmi kormányrendelet módosítását – a hatálybalépéstől eltelt rövid időre tekintettel – nem tervezi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 a ME sem a BM nem tudott olyan birtokvédelmi szakterülettel kapcsolatos korábbi cikket, tanulmányt, publikációt küldeni, mely munkánkat segítette volna, ellenben több ilyet illetve felajánlást kaptunk a kézikönyvben való publikálást illetően a t. jegyzői kar részéről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1700 megszólított jegyzőből 801 küldte vissza a kitöltött kérdőívet, ebből 584 csak az adatszolgáltatást töltötte ki, 217 pedig a kifejtős kérdésekre is válaszolt és </w:t>
      </w:r>
      <w:proofErr w:type="spellStart"/>
      <w:r>
        <w:rPr>
          <w:rFonts w:ascii="Times New Roman" w:hAnsi="Times New Roman" w:cs="Times New Roman"/>
        </w:rPr>
        <w:t>anonimizált</w:t>
      </w:r>
      <w:proofErr w:type="spellEnd"/>
      <w:r>
        <w:rPr>
          <w:rFonts w:ascii="Times New Roman" w:hAnsi="Times New Roman" w:cs="Times New Roman"/>
        </w:rPr>
        <w:t xml:space="preserve"> döntést is csatolt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 jegyzőből 195 úgy nyilatkozott, hogy a bíróság előtt megtámadott döntés sorsáról nem értesül, az ítéletből nem kap, a felterjesztett anyagokat is évekkel később küldik meg a bíróságok (a munkacsoport előtt kiemelt fontosságú kérdés volt!)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1700 polgármesteri hivatalból mintegy 300 készítette el és publikálta honlapján a P26 jellegű nyomtatványsablont a birtokvédelmi döntés megtámadása során egyes ügyfélcsoportoknak kötelezően előírt elektronikus felterjesztési út használatához (a munkacsoport előtt kiemelt fontosságú kérdés volt!)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több településen évek óta nincsen birtokvédelmi ügy, erre külön rákérdeztünk: mint kiderült, a szóbeli tanácsadásra megjelenő ügyfelekkel való részletes beszélgetés során kiderül, hogy problémájuk nem birtokvédelmi ügy, más eljárásban vagy más hatóság előtt kell megoldani az ügyet, illetve többen említettek szóbeli </w:t>
      </w:r>
      <w:proofErr w:type="spellStart"/>
      <w:r>
        <w:rPr>
          <w:rFonts w:ascii="Times New Roman" w:hAnsi="Times New Roman" w:cs="Times New Roman"/>
        </w:rPr>
        <w:t>mediációs</w:t>
      </w:r>
      <w:proofErr w:type="spellEnd"/>
      <w:r>
        <w:rPr>
          <w:rFonts w:ascii="Times New Roman" w:hAnsi="Times New Roman" w:cs="Times New Roman"/>
        </w:rPr>
        <w:t xml:space="preserve"> tevékenységet is, amikor a szembenálló feleket sikerült kibékíteni egymással.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IV.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jegyzők részéről a következő fontos felvetések érkeztek, melyekre adandó válaszokkal jelentősen könnyíthető lenne a munkájuk: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fontos lenne elemezni a birtokvédelem és a szomszédjogok közös és elhatároló pontjait a munkacsoport munkája során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panaszos szubjektív érzetét kell a jogalkalmazónak az eljárás során </w:t>
      </w:r>
      <w:proofErr w:type="spellStart"/>
      <w:r>
        <w:rPr>
          <w:rFonts w:ascii="Times New Roman" w:hAnsi="Times New Roman" w:cs="Times New Roman"/>
        </w:rPr>
        <w:t>objektivizálni</w:t>
      </w:r>
      <w:proofErr w:type="spellEnd"/>
      <w:r>
        <w:rPr>
          <w:rFonts w:ascii="Times New Roman" w:hAnsi="Times New Roman" w:cs="Times New Roman"/>
        </w:rPr>
        <w:t>, fontos lenne egyfajta zsinórmértéket, differenciálási pontokat kialakítani az „ésszerű-ésszerűtlen”, „zavaró-tűrésre kötelezett”, „szükséges-szükségtelen” eljárási hívószavak alkalmazása során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birtoksértés kezdő időpontjának meghatározása eseti és folyamatos birtokzavarás alkalmával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bürokrácia-csökkentéssel összefüggésben sok engedélyköteles tevékenység, magatartás </w:t>
      </w:r>
      <w:proofErr w:type="spellStart"/>
      <w:r>
        <w:rPr>
          <w:rFonts w:ascii="Times New Roman" w:hAnsi="Times New Roman" w:cs="Times New Roman"/>
        </w:rPr>
        <w:t>bejelentéskötelessé</w:t>
      </w:r>
      <w:proofErr w:type="spellEnd"/>
      <w:r>
        <w:rPr>
          <w:rFonts w:ascii="Times New Roman" w:hAnsi="Times New Roman" w:cs="Times New Roman"/>
        </w:rPr>
        <w:t xml:space="preserve"> válik, így viszont megnő a birtokvédelmi eljárást generáló zavarások száma, olyan esetekben, amikor az ügyfél csak utólag értesül a zavarást kiváltó bejelentés-köteles tevékenységről (építkezés, kereskedelmi egységek, szolgáltatások stb.)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meddig terjedhet a hatóság kioktató-segítő szerepe? mi a megoldás a „meddő” birtokvédelem esetén? </w:t>
      </w:r>
      <w:proofErr w:type="gramStart"/>
      <w:r>
        <w:rPr>
          <w:rFonts w:ascii="Times New Roman" w:hAnsi="Times New Roman" w:cs="Times New Roman"/>
        </w:rPr>
        <w:t>vagyis mi a teendő akkor, ha a panaszolt személy neve és címe ismeretlen, a zavarás valódi és jogszerűtlen, ellene fel kellene lépni, de a panaszos önmagától nem tudja kideríteni a panaszolt adatait; továbbá mi a teendő olyan esetben, amikor a panaszolt adatai ismertek, ugyanakkor huzamosabb ideje nem lakik adott ingatlanon (de nyilván kevesebb mint egy éve nem elérhető), de adott esetben a lakatlan, elhanyagolt ingatlan birtokzavarást valósít meg, rágcsálóirtást kellene végeztetni stb.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több település jelezte, hogy adott megyében található bíróságok nem ismerik a párhuzamos eljárási lehetőséget, vagyis hogy egy birtokvédelmi pernek nem előfeltétele a jegyzői birtokvédelmi eljárás lefolytatása, így viszont a panasznapon megjelenő és perindítás feltételei után érdeklődő ügyfeleket elküldik a polgármesteri hivatalokba.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MABIV megkereste a kormányhivatalokat is, hogy tapasztalataikkal segítsék a munkát, a következő fontos felvetések érkeztek tőlük:</w:t>
      </w:r>
    </w:p>
    <w:p w:rsidR="00416AC6" w:rsidRDefault="00416AC6" w:rsidP="00416AC6">
      <w:pPr>
        <w:spacing w:after="0"/>
        <w:jc w:val="both"/>
        <w:rPr>
          <w:rFonts w:ascii="Times New Roman" w:hAnsi="Times New Roman" w:cs="Times New Roman"/>
        </w:rPr>
      </w:pP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egyes megyékben divattá vált a </w:t>
      </w:r>
      <w:proofErr w:type="spellStart"/>
      <w:r>
        <w:rPr>
          <w:rFonts w:ascii="Times New Roman" w:hAnsi="Times New Roman" w:cs="Times New Roman"/>
        </w:rPr>
        <w:t>forum</w:t>
      </w:r>
      <w:proofErr w:type="spellEnd"/>
      <w:r>
        <w:rPr>
          <w:rFonts w:ascii="Times New Roman" w:hAnsi="Times New Roman" w:cs="Times New Roman"/>
        </w:rPr>
        <w:t xml:space="preserve"> shopping, nagy számban jelentenek be személyes elfogultságot az ügyben, így a szomszédos települések (részben kiszámítható módon) valamelyikére kerül az ügy, ahol kedvezőbb döntés várható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jegyzők birtokvédelmi eljárás keretében változatos ügyeket döntenek el: szomszédjogi vitákat, vagyonrendezési problémákat, távoltartást, kereskedelmi hatósági és állattartási ügyeket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jegyzők sok esetben nem különítik el a birtokvédelmi és a más jellegű közigazgatási ügyeket, mivel a birtokvédelmi döntés elleni jogorvoslat során meghozott ítélet nem kerül vissza a hivatalba, nincs vele további teendő, így birtokvédelmi köntösben sok más egyéb ügyet sikerül a hivatalon kívülre delegálni</w:t>
      </w:r>
    </w:p>
    <w:p w:rsid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kiemelt probléma melyet a birtokvédelmi kormányrendelet beterjesztésekor valamint elfogadása után is jeleztek a tárcának, de nem kaptak választ rá: nincs lehetőség a kérelem visszavonására, és nincs ilyen eljárás-megszüntetési ok, vagyis egy közigazgatási hatósági eljárásban megoldandó polgári jogi ügyben a kérelmet benyújtó nem az ügy ura, extrém esetben az akarata ellenére folytatnak le egy eljárást és akaratával ellentétes döntés születik</w:t>
      </w:r>
    </w:p>
    <w:p w:rsidR="00416AC6" w:rsidRPr="00416AC6" w:rsidRDefault="00416AC6" w:rsidP="00416A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szintén a polgári jogi ügy megoldásának jelentős gátja, hogy nem tartalmaz a birtokvédelmi kormányrendelet egyezség-jóváhagyási lehetőséget, a ME által a kormányrendelet hatálybalépésekor kibocsátott módszertani útmutató szerint a valamelyik fél által beterjesztett egyezségkötési javaslatot a bizonyítékok értékelése során lehet figyelembe venni, de kérdés, hogy melyik fél javára és kárára, és mi történik a költségviseléssel (mivel nincs lehetőség a költségek megosztására sem a felek között).</w:t>
      </w:r>
    </w:p>
    <w:sectPr w:rsidR="00416AC6" w:rsidRPr="0041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2879"/>
    <w:multiLevelType w:val="hybridMultilevel"/>
    <w:tmpl w:val="27BCE1B8"/>
    <w:lvl w:ilvl="0" w:tplc="A2E2353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3B63"/>
    <w:multiLevelType w:val="hybridMultilevel"/>
    <w:tmpl w:val="8DE02F10"/>
    <w:lvl w:ilvl="0" w:tplc="4ACA7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6"/>
    <w:rsid w:val="00357FA7"/>
    <w:rsid w:val="00416AC6"/>
    <w:rsid w:val="008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E0890-AA91-4FF0-B165-49675101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AC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6A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Kajó Cecília dr.</dc:creator>
  <cp:lastModifiedBy>Izsák Orsolya</cp:lastModifiedBy>
  <cp:revision>2</cp:revision>
  <dcterms:created xsi:type="dcterms:W3CDTF">2018-09-14T14:54:00Z</dcterms:created>
  <dcterms:modified xsi:type="dcterms:W3CDTF">2018-09-14T14:54:00Z</dcterms:modified>
</cp:coreProperties>
</file>